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5.png" ContentType="image/png"/>
  <Override PartName="/word/media/rId42.png" ContentType="image/png"/>
  <Override PartName="/word/media/rId69.png" ContentType="image/png"/>
  <Override PartName="/word/media/rId75.png" ContentType="image/png"/>
  <Override PartName="/word/media/rId258.png" ContentType="image/png"/>
  <Override PartName="/word/media/rId49.png" ContentType="image/png"/>
  <Override PartName="/word/media/rId46.png" ContentType="image/png"/>
  <Override PartName="/word/media/rId61.png" ContentType="image/png"/>
  <Override PartName="/word/media/rId58.png" ContentType="image/png"/>
  <Override PartName="/word/media/rId264.png" ContentType="image/png"/>
  <Override PartName="/word/media/rId267.png" ContentType="image/png"/>
  <Override PartName="/word/media/rId72.png" ContentType="image/png"/>
  <Override PartName="/word/media/rId270.png" ContentType="image/png"/>
  <Override PartName="/word/media/rId35.png" ContentType="image/png"/>
  <Override PartName="/word/media/rId55.png" ContentType="image/png"/>
  <Override PartName="/word/media/rId52.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2024-04-03</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[40]</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[41]</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[42]</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[41,46]</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[47]</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[48,49]</w:t>
      </w:r>
      <w:r>
        <w:t xml:space="preserve">. MED4, SS120 and</w:t>
      </w:r>
      <w:r>
        <w:t xml:space="preserve"> </w:t>
      </w:r>
      <w:r>
        <w:t xml:space="preserve">MIT9313 have been successfully cultured in laboratories</w:t>
      </w:r>
      <w:r>
        <w:t xml:space="preserve"> </w:t>
      </w:r>
      <w:r>
        <w:t xml:space="preserve">[50,51]</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[51]</w:t>
      </w:r>
      <w:r>
        <w:t xml:space="preserve"> </w:t>
      </w:r>
      <w:r>
        <w:t xml:space="preserve">prepared with autoclaved</w:t>
      </w:r>
      <w:r>
        <w:t xml:space="preserve"> </w:t>
      </w:r>
      <w:r>
        <w:t xml:space="preserve">artificial seawater</w:t>
      </w:r>
      <w:r>
        <w:t xml:space="preserve"> </w:t>
      </w:r>
      <w:r>
        <w:t xml:space="preserve">[52]</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[53]</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[54]</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[55]</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[56]</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[57]</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[58]</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[59]</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[60]</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[53]</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[53]</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[61]</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[62]</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[63]</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9"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[59]</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[50]</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4</w:t>
      </w:r>
      <w:r>
        <w:t xml:space="preserve">A). Note the exclusion of MED4</w:t>
      </w:r>
      <w:r>
        <w:t xml:space="preserve"> </w:t>
      </w:r>
      <w:r>
        <w:t xml:space="preserve">from growth under 4 h photoperiod under both red and blue light (Fig.</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MED4GAM.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[50]</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6</w:t>
      </w:r>
      <w:r>
        <w:t xml:space="preserve">D). Under red light and 25 µM O</w:t>
      </w:r>
      <w:r>
        <w:rPr>
          <w:vertAlign w:val="subscript"/>
        </w:rPr>
        <w:t xml:space="preserve">2</w:t>
      </w:r>
      <w:r>
        <w:t xml:space="preserve"> </w:t>
      </w:r>
      <w:r>
        <w:t xml:space="preserve">(Fig.</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SS120GAM.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w:t>
      </w:r>
      <w:r>
        <w:t xml:space="preserve"> </w:t>
      </w:r>
      <w:r>
        <w:t xml:space="preserve">8</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8</w:t>
      </w:r>
      <w:r>
        <w:t xml:space="preserve">E).</w:t>
      </w:r>
    </w:p>
    <w:p>
      <w:r>
        <w:br w:type="page"/>
      </w:r>
    </w:p>
    <w:p>
      <w:pPr>
        <w:pStyle w:val="CaptionedFigure"/>
      </w:pPr>
      <w:r>
        <w:drawing>
          <wp:inline>
            <wp:extent cx="5943600" cy="5943600"/>
            <wp:effectExtent b="0" l="0" r="0" t="0"/>
            <wp:docPr descr="Fig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MIT9313GAM.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68"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[53]</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[59]</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D). Again using</w:t>
      </w:r>
      <w:r>
        <w:t xml:space="preserve"> </w:t>
      </w:r>
      <w:r>
        <w:t xml:space="preserve">[53]</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9</w:t>
      </w:r>
      <w:r>
        <w:t xml:space="preserve">E)</w:t>
      </w:r>
      <w:r>
        <w:t xml:space="preserve"> </w:t>
      </w:r>
      <w:r>
        <w:t xml:space="preserve">[59]</w:t>
      </w:r>
      <w:r>
        <w:t xml:space="preserve">. For distinct fits for</w:t>
      </w:r>
      <w:r>
        <w:t xml:space="preserve"> </w:t>
      </w:r>
      <w:r>
        <w:t xml:space="preserve">different photoperiods refer to Fig.</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[59]</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9</w:t>
      </w:r>
      <w:r>
        <w:t xml:space="preserve">I). For distinct fits for</w:t>
      </w:r>
      <w:r>
        <w:t xml:space="preserve"> </w:t>
      </w:r>
      <w:r>
        <w:t xml:space="preserve">different photoperiod fits refer to Fig.</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 9: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3]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6" name="Picture"/>
            <a:graphic>
              <a:graphicData uri="http://schemas.openxmlformats.org/drawingml/2006/picture">
                <pic:pic>
                  <pic:nvPicPr>
                    <pic:cNvPr descr="../Output/Figures/BluevsRedPurFitsPlots.png" id="67" name="Picture"/>
                    <pic:cNvPicPr>
                      <a:picLocks noChangeArrowheads="1" noChangeAspect="1"/>
                    </pic:cNvPicPr>
                  </pic:nvPicPr>
                  <pic:blipFill>
                    <a:blip r:embed="rId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 9:</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[53]</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8"/>
    <w:bookmarkStart w:id="78"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[64]</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[59,64–66]</w:t>
      </w:r>
      <w:r>
        <w:t xml:space="preserve">. Repair of photoinactivated PSII</w:t>
      </w:r>
      <w:r>
        <w:t xml:space="preserve"> </w:t>
      </w:r>
      <w:r>
        <w:t xml:space="preserve">relies on the removal of damaged PsbA</w:t>
      </w:r>
      <w:r>
        <w:t xml:space="preserve"> </w:t>
      </w:r>
      <w:r>
        <w:t xml:space="preserve">[67,68]</w:t>
      </w:r>
      <w:r>
        <w:t xml:space="preserve">,</w:t>
      </w:r>
      <w:r>
        <w:t xml:space="preserve"> </w:t>
      </w:r>
      <w:r>
        <w:t xml:space="preserve">followed by reassembly with newly synthesized PsbA</w:t>
      </w:r>
      <w:r>
        <w:t xml:space="preserve"> </w:t>
      </w:r>
      <w:r>
        <w:t xml:space="preserve">[69]</w:t>
      </w:r>
      <w:r>
        <w:t xml:space="preserve">. Degradation of PsbA is a</w:t>
      </w:r>
      <w:r>
        <w:t xml:space="preserve"> </w:t>
      </w:r>
      <w:r>
        <w:t xml:space="preserve">rate-limiting step in recovery from photoinhibition</w:t>
      </w:r>
      <w:r>
        <w:t xml:space="preserve"> </w:t>
      </w:r>
      <w:r>
        <w:t xml:space="preserve">[70]</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[71–73]</w:t>
      </w:r>
      <w:r>
        <w:t xml:space="preserve">.</w:t>
      </w:r>
    </w:p>
    <w:p>
      <w:pPr>
        <w:pStyle w:val="BodyText"/>
      </w:pPr>
      <w:r>
        <w:rPr>
          <w:iCs/>
          <w:i/>
        </w:rPr>
        <w:t xml:space="preserve">Prochlorococcus</w:t>
      </w:r>
      <w:r>
        <w:t xml:space="preserve"> </w:t>
      </w:r>
      <w:r>
        <w:t xml:space="preserve">genomes encode 4 FtsH proteins</w:t>
      </w:r>
      <w:r>
        <w:t xml:space="preserve"> </w:t>
      </w:r>
      <w:r>
        <w:t xml:space="preserve">[67,74]</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[72,74]</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[76]</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8</w:t>
      </w:r>
      <w:r>
        <w:t xml:space="preserve">),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70" name="Picture"/>
            <a:graphic>
              <a:graphicData uri="http://schemas.openxmlformats.org/drawingml/2006/picture">
                <pic:pic>
                  <pic:nvPicPr>
                    <pic:cNvPr descr="../Output/Figures/CladeProchloroProteinMetabDepthO2.png" id="71"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[61]</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[77]</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11</w:t>
      </w:r>
      <w:r>
        <w:t xml:space="preserve">) is comparable to the lower limit</w:t>
      </w:r>
      <w:r>
        <w:t xml:space="preserve"> </w:t>
      </w:r>
      <w:r>
        <w:t xml:space="preserve">for growth of MED4 in our experiments (Fig.</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[78]</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[79]</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[80]</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5</w:t>
      </w:r>
      <w:r>
        <w:t xml:space="preserve">).</w:t>
      </w:r>
    </w:p>
    <w:p>
      <w:r>
        <w:br w:type="page"/>
      </w:r>
    </w:p>
    <w:p>
      <w:pPr>
        <w:pStyle w:val="CaptionedFigure"/>
      </w:pPr>
      <w:r>
        <w:drawing>
          <wp:inline>
            <wp:extent cx="5943600" cy="6992470"/>
            <wp:effectExtent b="0" l="0" r="0" t="0"/>
            <wp:docPr descr="Fig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1]." title="" id="73" name="Picture"/>
            <a:graphic>
              <a:graphicData uri="http://schemas.openxmlformats.org/drawingml/2006/picture">
                <pic:pic>
                  <pic:nvPicPr>
                    <pic:cNvPr descr="../Output/Figures/ProchlorococcusEnzymeKms.png" id="74" name="Picture"/>
                    <pic:cNvPicPr>
                      <a:picLocks noChangeArrowheads="1" noChangeAspect="1"/>
                    </pic:cNvPicPr>
                  </pic:nvPicPr>
                  <pic:blipFill>
                    <a:blip r:embed="rId72"/>
                    <a:stretch>
                      <a:fillRect/>
                    </a:stretch>
                  </pic:blipFill>
                  <pic:spPr bwMode="auto">
                    <a:xfrm>
                      <a:off x="0" y="0"/>
                      <a:ext cx="5943600" cy="6992470"/>
                    </a:xfrm>
                    <a:prstGeom prst="rect">
                      <a:avLst/>
                    </a:prstGeom>
                    <a:noFill/>
                    <a:ln w="9525">
                      <a:noFill/>
                      <a:headEnd/>
                      <a:tailEnd/>
                    </a:ln>
                  </pic:spPr>
                </pic:pic>
              </a:graphicData>
            </a:graphic>
          </wp:inline>
        </w:drawing>
      </w:r>
    </w:p>
    <w:p>
      <w:pPr>
        <w:pStyle w:val="ImageCaption"/>
      </w:pPr>
      <w:r>
        <w:t xml:space="preserve">Fig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Fig.</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[81]</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[82]</w:t>
      </w:r>
      <w:r>
        <w:t xml:space="preserve">. Malmstrom</w:t>
      </w:r>
      <w:r>
        <w:t xml:space="preserve"> </w:t>
      </w:r>
      <w:r>
        <w:rPr>
          <w:iCs/>
          <w:i/>
        </w:rPr>
        <w:t xml:space="preserve">et al</w:t>
      </w:r>
      <w:r>
        <w:t xml:space="preserve">.</w:t>
      </w:r>
      <w:r>
        <w:t xml:space="preserve"> </w:t>
      </w:r>
      <w:r>
        <w:t xml:space="preserve">[82]</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[83]</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[48,49]</w:t>
      </w:r>
      <w:r>
        <w:t xml:space="preserve">.</w:t>
      </w:r>
    </w:p>
    <w:p>
      <w:r>
        <w:br w:type="page"/>
      </w:r>
    </w:p>
    <w:p>
      <w:pPr>
        <w:pStyle w:val="CaptionedFigure"/>
      </w:pPr>
      <w:r>
        <w:drawing>
          <wp:inline>
            <wp:extent cx="4587290" cy="4587290"/>
            <wp:effectExtent b="0" l="0" r="0" t="0"/>
            <wp:docPr descr="Fig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1]." title="" id="76" name="Picture"/>
            <a:graphic>
              <a:graphicData uri="http://schemas.openxmlformats.org/drawingml/2006/picture">
                <pic:pic>
                  <pic:nvPicPr>
                    <pic:cNvPr descr="../Output/Figures/DNARepairFig.png" id="77" name="Picture"/>
                    <pic:cNvPicPr>
                      <a:picLocks noChangeArrowheads="1" noChangeAspect="1"/>
                    </pic:cNvPicPr>
                  </pic:nvPicPr>
                  <pic:blipFill>
                    <a:blip r:embed="rId75"/>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[82]</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[82]</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16</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16</w:t>
      </w:r>
      <w:r>
        <w:t xml:space="preserve">I).</w:t>
      </w:r>
    </w:p>
    <w:bookmarkEnd w:id="78"/>
    <w:bookmarkEnd w:id="79"/>
    <w:bookmarkStart w:id="80"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11</w:t>
      </w:r>
      <w:r>
        <w:t xml:space="preserve">) and</w:t>
      </w:r>
      <w:r>
        <w:t xml:space="preserve"> </w:t>
      </w:r>
      <w:r>
        <w:t xml:space="preserve">transcriptional analyses</w:t>
      </w:r>
      <w:r>
        <w:t xml:space="preserve"> </w:t>
      </w:r>
      <w:r>
        <w:t xml:space="preserve">[77]</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[59]</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12</w:t>
      </w:r>
      <w:r>
        <w:t xml:space="preserve">), and possibly by limited capacity for synthesis</w:t>
      </w:r>
      <w:r>
        <w:t xml:space="preserve"> </w:t>
      </w:r>
      <w:r>
        <w:t xml:space="preserve">of reactive oxygen quenchers (Fig.</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[78]</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[84]</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[85–87]</w:t>
      </w:r>
      <w:r>
        <w:t xml:space="preserve"> </w:t>
      </w:r>
      <w:r>
        <w:t xml:space="preserve">and amino acids</w:t>
      </w:r>
      <w:r>
        <w:t xml:space="preserve"> </w:t>
      </w:r>
      <w:r>
        <w:t xml:space="preserve">[88]</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80"/>
    <w:bookmarkStart w:id="257" w:name="references"/>
    <w:p>
      <w:pPr>
        <w:pStyle w:val="Heading1"/>
      </w:pPr>
      <w:r>
        <w:t xml:space="preserve">References</w:t>
      </w:r>
    </w:p>
    <w:bookmarkStart w:id="256" w:name="refs"/>
    <w:bookmarkStart w:id="82"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81">
        <w:r>
          <w:rPr>
            <w:rStyle w:val="Hyperlink"/>
          </w:rPr>
          <w:t xml:space="preserve">10.1007/BF00245165</w:t>
        </w:r>
      </w:hyperlink>
    </w:p>
    <w:bookmarkEnd w:id="82"/>
    <w:bookmarkStart w:id="84" w:name="X377042c084eff0ee0f053250151116e931fa65d"/>
    <w:p>
      <w:pPr>
        <w:pStyle w:val="Bibliography"/>
      </w:pPr>
      <w:r>
        <w:t xml:space="preserve">2.</w:t>
      </w:r>
      <w:r>
        <w:t xml:space="preserve"> </w:t>
      </w:r>
      <w:r>
        <w:t xml:space="preserve">	</w:t>
      </w:r>
      <w:r>
        <w:t xml:space="preserve">Partensky F, Hess WR, Vaulot D.</w:t>
      </w:r>
      <w:r>
        <w:t xml:space="preserve"> </w:t>
      </w:r>
      <w:hyperlink r:id="rId83">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84"/>
    <w:bookmarkStart w:id="86"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85">
        <w:r>
          <w:rPr>
            <w:rStyle w:val="Hyperlink"/>
          </w:rPr>
          <w:t xml:space="preserve">10.1038/nature01947</w:t>
        </w:r>
      </w:hyperlink>
    </w:p>
    <w:bookmarkEnd w:id="86"/>
    <w:bookmarkStart w:id="88"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7">
        <w:r>
          <w:rPr>
            <w:rStyle w:val="Hyperlink"/>
          </w:rPr>
          <w:t xml:space="preserve">10.1038/30965</w:t>
        </w:r>
      </w:hyperlink>
    </w:p>
    <w:bookmarkEnd w:id="88"/>
    <w:bookmarkStart w:id="90"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9">
        <w:r>
          <w:rPr>
            <w:rStyle w:val="Hyperlink"/>
          </w:rPr>
          <w:t xml:space="preserve">10.1038/nrmicro3378</w:t>
        </w:r>
      </w:hyperlink>
    </w:p>
    <w:bookmarkEnd w:id="90"/>
    <w:bookmarkStart w:id="92"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91">
        <w:r>
          <w:rPr>
            <w:rStyle w:val="Hyperlink"/>
          </w:rPr>
          <w:t xml:space="preserve">10.3354/meps068121</w:t>
        </w:r>
      </w:hyperlink>
    </w:p>
    <w:bookmarkEnd w:id="92"/>
    <w:bookmarkStart w:id="94"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93">
        <w:r>
          <w:rPr>
            <w:rStyle w:val="Hyperlink"/>
          </w:rPr>
          <w:t xml:space="preserve">10.1038/334340a0</w:t>
        </w:r>
      </w:hyperlink>
    </w:p>
    <w:bookmarkEnd w:id="94"/>
    <w:bookmarkStart w:id="96"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5">
        <w:r>
          <w:rPr>
            <w:rStyle w:val="Hyperlink"/>
          </w:rPr>
          <w:t xml:space="preserve">10.1146/annurev-marine-120308-081034</w:t>
        </w:r>
      </w:hyperlink>
    </w:p>
    <w:bookmarkEnd w:id="96"/>
    <w:bookmarkStart w:id="98"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7">
        <w:r>
          <w:rPr>
            <w:rStyle w:val="Hyperlink"/>
          </w:rPr>
          <w:t xml:space="preserve">10.1016/S0967-0637(99)00108-9</w:t>
        </w:r>
      </w:hyperlink>
    </w:p>
    <w:bookmarkEnd w:id="98"/>
    <w:bookmarkStart w:id="100"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9">
        <w:r>
          <w:rPr>
            <w:rStyle w:val="Hyperlink"/>
          </w:rPr>
          <w:t xml:space="preserve">10.1111/j.1758-2229.2010.00167.x</w:t>
        </w:r>
      </w:hyperlink>
    </w:p>
    <w:bookmarkEnd w:id="100"/>
    <w:bookmarkStart w:id="102"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01">
        <w:r>
          <w:rPr>
            <w:rStyle w:val="Hyperlink"/>
          </w:rPr>
          <w:t xml:space="preserve">10.1073/pnas.2025638118</w:t>
        </w:r>
      </w:hyperlink>
    </w:p>
    <w:bookmarkEnd w:id="102"/>
    <w:bookmarkStart w:id="104"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3">
        <w:r>
          <w:rPr>
            <w:rStyle w:val="Hyperlink"/>
          </w:rPr>
          <w:t xml:space="preserve">10.1073/pnas.1619844114</w:t>
        </w:r>
      </w:hyperlink>
    </w:p>
    <w:bookmarkEnd w:id="104"/>
    <w:bookmarkStart w:id="106"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5">
        <w:r>
          <w:rPr>
            <w:rStyle w:val="Hyperlink"/>
          </w:rPr>
          <w:t xml:space="preserve">10.1038/s41559-020-01330-x</w:t>
        </w:r>
      </w:hyperlink>
    </w:p>
    <w:bookmarkEnd w:id="106"/>
    <w:bookmarkStart w:id="108"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7">
        <w:r>
          <w:rPr>
            <w:rStyle w:val="Hyperlink"/>
          </w:rPr>
          <w:t xml:space="preserve">10.1016/S0967-0645(99)00041-7</w:t>
        </w:r>
      </w:hyperlink>
    </w:p>
    <w:bookmarkEnd w:id="108"/>
    <w:bookmarkStart w:id="110"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9">
        <w:r>
          <w:rPr>
            <w:rStyle w:val="Hyperlink"/>
          </w:rPr>
          <w:t xml:space="preserve">10.1007/s11120-018-0539-3</w:t>
        </w:r>
      </w:hyperlink>
    </w:p>
    <w:bookmarkEnd w:id="110"/>
    <w:bookmarkStart w:id="112"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11">
        <w:r>
          <w:rPr>
            <w:rStyle w:val="Hyperlink"/>
          </w:rPr>
          <w:t xml:space="preserve">10.1126/science.1118052</w:t>
        </w:r>
      </w:hyperlink>
    </w:p>
    <w:bookmarkEnd w:id="112"/>
    <w:bookmarkStart w:id="114"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3">
        <w:r>
          <w:rPr>
            <w:rStyle w:val="Hyperlink"/>
          </w:rPr>
          <w:t xml:space="preserve">10.4319/lo.2007.52.5.2205</w:t>
        </w:r>
      </w:hyperlink>
    </w:p>
    <w:bookmarkEnd w:id="114"/>
    <w:bookmarkStart w:id="116"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5">
        <w:r>
          <w:rPr>
            <w:rStyle w:val="Hyperlink"/>
          </w:rPr>
          <w:t xml:space="preserve">10.1038/s41396-018-0287-6</w:t>
        </w:r>
      </w:hyperlink>
    </w:p>
    <w:bookmarkEnd w:id="116"/>
    <w:bookmarkStart w:id="118"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7">
        <w:r>
          <w:rPr>
            <w:rStyle w:val="Hyperlink"/>
          </w:rPr>
          <w:t xml:space="preserve">10.1128/AEM.65.6.2585-2591.1999</w:t>
        </w:r>
      </w:hyperlink>
    </w:p>
    <w:bookmarkEnd w:id="118"/>
    <w:bookmarkStart w:id="120"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9">
        <w:r>
          <w:rPr>
            <w:rStyle w:val="Hyperlink"/>
          </w:rPr>
          <w:t xml:space="preserve">10.7717/peerj.4320</w:t>
        </w:r>
      </w:hyperlink>
    </w:p>
    <w:bookmarkEnd w:id="120"/>
    <w:bookmarkStart w:id="122"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21">
        <w:r>
          <w:rPr>
            <w:rStyle w:val="Hyperlink"/>
          </w:rPr>
          <w:t xml:space="preserve">10.1073/pnas.1307701110</w:t>
        </w:r>
      </w:hyperlink>
    </w:p>
    <w:bookmarkEnd w:id="122"/>
    <w:bookmarkStart w:id="124"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3">
        <w:r>
          <w:rPr>
            <w:rStyle w:val="Hyperlink"/>
          </w:rPr>
          <w:t xml:space="preserve">10.1073/pnas.1519080113</w:t>
        </w:r>
      </w:hyperlink>
    </w:p>
    <w:bookmarkEnd w:id="124"/>
    <w:bookmarkStart w:id="126"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46.</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47.</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48.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49.</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34a50bd4f90fc9c15adbc5a13cc0f92b6479639"/>
    <w:p>
      <w:pPr>
        <w:pStyle w:val="Bibliography"/>
      </w:pPr>
      <w:r>
        <w:t xml:space="preserve">50.</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78">
        <w:r>
          <w:rPr>
            <w:rStyle w:val="Hyperlink"/>
          </w:rPr>
          <w:t xml:space="preserve">https://www.jstor.org/stable/44635011</w:t>
        </w:r>
      </w:hyperlink>
    </w:p>
    <w:bookmarkEnd w:id="179"/>
    <w:bookmarkStart w:id="181" w:name="X008f0b7f30a0477b74484fc20e18ac1710ada8e"/>
    <w:p>
      <w:pPr>
        <w:pStyle w:val="Bibliography"/>
      </w:pPr>
      <w:r>
        <w:t xml:space="preserve">51.</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80">
        <w:r>
          <w:rPr>
            <w:rStyle w:val="Hyperlink"/>
          </w:rPr>
          <w:t xml:space="preserve">10.4319/lom.2007.5.353</w:t>
        </w:r>
      </w:hyperlink>
    </w:p>
    <w:bookmarkEnd w:id="181"/>
    <w:bookmarkStart w:id="183" w:name="Xdc826be35dd391eae1f13c1e2850944a16de067"/>
    <w:p>
      <w:pPr>
        <w:pStyle w:val="Bibliography"/>
      </w:pPr>
      <w:r>
        <w:t xml:space="preserve">52.</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82">
        <w:r>
          <w:rPr>
            <w:rStyle w:val="Hyperlink"/>
          </w:rPr>
          <w:t xml:space="preserve">10.1046/j.1529-8817.2001.01052.x</w:t>
        </w:r>
      </w:hyperlink>
    </w:p>
    <w:bookmarkEnd w:id="183"/>
    <w:bookmarkStart w:id="185" w:name="X2f3f2ef9f90eda6a1a18e84d8544e5d48a1f704"/>
    <w:p>
      <w:pPr>
        <w:pStyle w:val="Bibliography"/>
      </w:pPr>
      <w:r>
        <w:t xml:space="preserve">53.</w:t>
      </w:r>
      <w:r>
        <w:t xml:space="preserve"> </w:t>
      </w:r>
      <w:r>
        <w:t xml:space="preserve">	</w:t>
      </w:r>
      <w:r>
        <w:t xml:space="preserve">Harrison WG, Platt T. Photosynthesis-irradiance relationships in polar and temperate phytoplankton populations. Polar Biology. 1986;5: 153–164. doi:</w:t>
      </w:r>
      <w:hyperlink r:id="rId184">
        <w:r>
          <w:rPr>
            <w:rStyle w:val="Hyperlink"/>
          </w:rPr>
          <w:t xml:space="preserve">10.1007/BF00441695</w:t>
        </w:r>
      </w:hyperlink>
    </w:p>
    <w:bookmarkEnd w:id="185"/>
    <w:bookmarkStart w:id="187" w:name="ref-R-zoo"/>
    <w:p>
      <w:pPr>
        <w:pStyle w:val="Bibliography"/>
      </w:pPr>
      <w:r>
        <w:t xml:space="preserve">54.</w:t>
      </w:r>
      <w:r>
        <w:t xml:space="preserve"> </w:t>
      </w:r>
      <w:r>
        <w:t xml:space="preserve">	</w:t>
      </w:r>
      <w:r>
        <w:t xml:space="preserve">Zeileis A, Grothendieck G, Ryan JA. Zoo: S3 infrastructure for regular and irregular time series (z’s ordered observations). 2021. Available:</w:t>
      </w:r>
      <w:r>
        <w:t xml:space="preserve"> </w:t>
      </w:r>
      <w:hyperlink r:id="rId186">
        <w:r>
          <w:rPr>
            <w:rStyle w:val="Hyperlink"/>
          </w:rPr>
          <w:t xml:space="preserve">https://zoo.R-Forge.R-project.org/</w:t>
        </w:r>
      </w:hyperlink>
    </w:p>
    <w:bookmarkEnd w:id="187"/>
    <w:bookmarkStart w:id="189" w:name="ref-bellaviaLevenbergMarquardtMethod2018"/>
    <w:p>
      <w:pPr>
        <w:pStyle w:val="Bibliography"/>
      </w:pPr>
      <w:r>
        <w:t xml:space="preserve">55.</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8">
        <w:r>
          <w:rPr>
            <w:rStyle w:val="Hyperlink"/>
          </w:rPr>
          <w:t xml:space="preserve">10.1007/s00211-018-0977-z</w:t>
        </w:r>
      </w:hyperlink>
    </w:p>
    <w:bookmarkEnd w:id="189"/>
    <w:bookmarkStart w:id="191" w:name="ref-R-minpack.lm"/>
    <w:p>
      <w:pPr>
        <w:pStyle w:val="Bibliography"/>
      </w:pPr>
      <w:r>
        <w:t xml:space="preserve">56.</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0">
        <w:r>
          <w:rPr>
            <w:rStyle w:val="Hyperlink"/>
          </w:rPr>
          <w:t xml:space="preserve">https://CRAN.R-project.org/package=minpack.lm</w:t>
        </w:r>
      </w:hyperlink>
    </w:p>
    <w:bookmarkEnd w:id="191"/>
    <w:bookmarkStart w:id="193" w:name="ref-woodGeneralizedAdditiveModels2017"/>
    <w:p>
      <w:pPr>
        <w:pStyle w:val="Bibliography"/>
      </w:pPr>
      <w:r>
        <w:t xml:space="preserve">57.</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92">
        <w:r>
          <w:rPr>
            <w:rStyle w:val="Hyperlink"/>
          </w:rPr>
          <w:t xml:space="preserve">10.1201/9781315370279</w:t>
        </w:r>
      </w:hyperlink>
    </w:p>
    <w:bookmarkEnd w:id="193"/>
    <w:bookmarkStart w:id="195" w:name="ref-R-mgcv"/>
    <w:p>
      <w:pPr>
        <w:pStyle w:val="Bibliography"/>
      </w:pPr>
      <w:r>
        <w:t xml:space="preserve">58.</w:t>
      </w:r>
      <w:r>
        <w:t xml:space="preserve"> </w:t>
      </w:r>
      <w:r>
        <w:t xml:space="preserve">	</w:t>
      </w:r>
      <w:r>
        <w:t xml:space="preserve">Wood S. Mgcv: Mixed GAM computation vehicle with automatic smoothness estimation. 2022. Available:</w:t>
      </w:r>
      <w:r>
        <w:t xml:space="preserve"> </w:t>
      </w:r>
      <w:hyperlink r:id="rId194">
        <w:r>
          <w:rPr>
            <w:rStyle w:val="Hyperlink"/>
          </w:rPr>
          <w:t xml:space="preserve">https://CRAN.R-project.org/package=mgcv</w:t>
        </w:r>
      </w:hyperlink>
    </w:p>
    <w:bookmarkEnd w:id="195"/>
    <w:bookmarkStart w:id="197" w:name="Xd6f835e435e0433ef8361f76d16943ca7fccc05"/>
    <w:p>
      <w:pPr>
        <w:pStyle w:val="Bibliography"/>
      </w:pPr>
      <w:r>
        <w:t xml:space="preserve">59.</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6">
        <w:r>
          <w:rPr>
            <w:rStyle w:val="Hyperlink"/>
          </w:rPr>
          <w:t xml:space="preserve">http://dx.doi.org.libproxy.mta.ca/10.1371/journal.pone.0168991</w:t>
        </w:r>
      </w:hyperlink>
    </w:p>
    <w:bookmarkEnd w:id="197"/>
    <w:bookmarkStart w:id="199" w:name="Xe44519f7c4f85a8f2f69ad01347800da25031bd"/>
    <w:p>
      <w:pPr>
        <w:pStyle w:val="Bibliography"/>
      </w:pPr>
      <w:r>
        <w:t xml:space="preserve">60.</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8">
        <w:r>
          <w:rPr>
            <w:rStyle w:val="Hyperlink"/>
          </w:rPr>
          <w:t xml:space="preserve">10.1016/j.jphotobiol.2005.10.002</w:t>
        </w:r>
      </w:hyperlink>
    </w:p>
    <w:bookmarkEnd w:id="199"/>
    <w:bookmarkStart w:id="201" w:name="ref-omarAnnotationGenesEncoding2023"/>
    <w:p>
      <w:pPr>
        <w:pStyle w:val="Bibliography"/>
      </w:pPr>
      <w:r>
        <w:t xml:space="preserve">61.</w:t>
      </w:r>
      <w:r>
        <w:t xml:space="preserve"> </w:t>
      </w:r>
      <w:r>
        <w:t xml:space="preserve">	</w:t>
      </w:r>
      <w:r>
        <w:t xml:space="preserve">Omar N, Beardsall B, Fleury K, Ataikiru E, Campbell D. Annotation of genes encoding enzymes across marine phytoplankton genomes. Dryad; 2023. pp. 1130923746 bytes. doi:</w:t>
      </w:r>
      <w:hyperlink r:id="rId200">
        <w:r>
          <w:rPr>
            <w:rStyle w:val="Hyperlink"/>
          </w:rPr>
          <w:t xml:space="preserve">10.5061/DRYAD.KH1893284</w:t>
        </w:r>
      </w:hyperlink>
    </w:p>
    <w:bookmarkEnd w:id="201"/>
    <w:bookmarkStart w:id="203" w:name="ref-karpBioCycCollectionMicrobial2019"/>
    <w:p>
      <w:pPr>
        <w:pStyle w:val="Bibliography"/>
      </w:pPr>
      <w:r>
        <w:t xml:space="preserve">62.</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02">
        <w:r>
          <w:rPr>
            <w:rStyle w:val="Hyperlink"/>
          </w:rPr>
          <w:t xml:space="preserve">10.1093/bib/bbx085</w:t>
        </w:r>
      </w:hyperlink>
    </w:p>
    <w:bookmarkEnd w:id="203"/>
    <w:bookmarkStart w:id="205" w:name="Xd7f638cefb50c16df23fe2519c48a139a73b0c3"/>
    <w:p>
      <w:pPr>
        <w:pStyle w:val="Bibliography"/>
      </w:pPr>
      <w:r>
        <w:t xml:space="preserve">63.</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4">
        <w:r>
          <w:rPr>
            <w:rStyle w:val="Hyperlink"/>
          </w:rPr>
          <w:t xml:space="preserve">10.3390/life5010716</w:t>
        </w:r>
      </w:hyperlink>
    </w:p>
    <w:bookmarkEnd w:id="205"/>
    <w:bookmarkStart w:id="207" w:name="ref-aroPhotoinhibitionPhotosystemII1993"/>
    <w:p>
      <w:pPr>
        <w:pStyle w:val="Bibliography"/>
      </w:pPr>
      <w:r>
        <w:t xml:space="preserve">64.</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65.</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66.</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67.</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68.</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69.</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70.</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71.</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72.</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73.</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75.</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76.</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77.</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78.</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79.</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80.</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81.</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82.</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83.</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84.</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87.</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88.</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3]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 16: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[53]</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1]."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81"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274">
        <w:r>
          <w:rPr>
            <w:rStyle w:val="Hyperlink"/>
          </w:rPr>
          <w:t xml:space="preserve">https://github.com/FundyPhytoPhys/prochlorococcus_o2/Data/RawData/MultiCultiData1.zip</w:t>
        </w:r>
      </w:hyperlink>
      <w:r>
        <w:t xml:space="preserve">.</w:t>
      </w:r>
      <w:r>
        <w:t xml:space="preserve"> </w:t>
      </w:r>
      <w:hyperlink r:id="rId275">
        <w:r>
          <w:rPr>
            <w:rStyle w:val="Hyperlink"/>
          </w:rPr>
          <w:t xml:space="preserve">https://github.com/FundyPhytoPhys/prochlorococcus_o2/Data/RawData/MultiCultiData2.zip</w:t>
        </w:r>
      </w:hyperlink>
      <w:r>
        <w:t xml:space="preserve">.</w:t>
      </w:r>
      <w:r>
        <w:t xml:space="preserve"> </w:t>
      </w:r>
      <w:hyperlink r:id="rId276">
        <w:r>
          <w:rPr>
            <w:rStyle w:val="Hyperlink"/>
          </w:rPr>
          <w:t xml:space="preserve">https://github.com/FundyPhytoPhys/prochlorococcus_o2/Data/RawData/MultiCultiData3.zip</w:t>
        </w:r>
      </w:hyperlink>
      <w:r>
        <w:t xml:space="preserve">.</w:t>
      </w:r>
      <w:r>
        <w:t xml:space="preserve"> </w:t>
      </w:r>
      <w:r>
        <w:t xml:space="preserve">All data obtained from the Jaz spectrometer were saved as text files and are available at</w:t>
      </w:r>
      <w:r>
        <w:t xml:space="preserve"> </w:t>
      </w:r>
      <w:hyperlink r:id="rId277">
        <w:r>
          <w:rPr>
            <w:rStyle w:val="Hyperlink"/>
          </w:rPr>
          <w:t xml:space="preserve">https://github.com/FundyPhytoPhys/prochlorococcus_o2/Data/RawData/JazEmData.zip</w:t>
        </w:r>
      </w:hyperlink>
      <w:r>
        <w:t xml:space="preserve">.</w:t>
      </w:r>
      <w:r>
        <w:t xml:space="preserve"> </w:t>
      </w:r>
      <w:r>
        <w:t xml:space="preserve">All data obtained from the Olis 14 UV/VIS Clarity Spectrophotometer were saved as ascii files and are available at</w:t>
      </w:r>
      <w:r>
        <w:t xml:space="preserve"> </w:t>
      </w:r>
      <w:hyperlink r:id="rId278">
        <w:r>
          <w:rPr>
            <w:rStyle w:val="Hyperlink"/>
          </w:rPr>
          <w:t xml:space="preserve">https://github.com/FundyPhytoPhys/prochlorococcus_o2/Data/RawData/OlisData.zip</w:t>
        </w:r>
      </w:hyperlink>
      <w:r>
        <w:t xml:space="preserve">.</w:t>
      </w:r>
      <w:r>
        <w:t xml:space="preserve"> </w:t>
      </w:r>
      <w:r>
        <w:t xml:space="preserve">Meta Data for the Multicultivator runs were imported and saved as a .Rds and available at</w:t>
      </w:r>
      <w:r>
        <w:t xml:space="preserve"> </w:t>
      </w:r>
      <w:hyperlink r:id="rId279">
        <w:r>
          <w:rPr>
            <w:rStyle w:val="Hyperlink"/>
          </w:rPr>
          <w:t xml:space="preserve">https://github.com/FundyPhytoPhys/prochlorococcus_o2/Data/RawData/CultureCatalog.Rds</w:t>
        </w:r>
      </w:hyperlink>
      <w:r>
        <w:t xml:space="preserve">.</w:t>
      </w:r>
    </w:p>
    <w:p>
      <w:pPr>
        <w:pStyle w:val="BodyText"/>
      </w:pPr>
      <w:r>
        <w:t xml:space="preserve">Annotated code for data import, transformations and analyses are</w:t>
      </w:r>
      <w:r>
        <w:t xml:space="preserve"> </w:t>
      </w:r>
      <w:r>
        <w:t xml:space="preserve">available at</w:t>
      </w:r>
      <w:r>
        <w:t xml:space="preserve"> </w:t>
      </w:r>
      <w:hyperlink r:id="rId280">
        <w:r>
          <w:rPr>
            <w:rStyle w:val="Hyperlink"/>
          </w:rPr>
          <w:t xml:space="preserve">https://github.com/FundyPhytoPhys/prochlorococcus_o2/Code</w:t>
        </w:r>
      </w:hyperlink>
      <w:r>
        <w:t xml:space="preserve">.</w:t>
      </w:r>
    </w:p>
    <w:bookmarkEnd w:id="281"/>
    <w:bookmarkStart w:id="282"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82"/>
    <w:bookmarkStart w:id="283"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83"/>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258" Target="media/rId258.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72" Target="media/rId72.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2024-04-03T13:53:16Z</dcterms:created>
  <dcterms:modified xsi:type="dcterms:W3CDTF">2024-04-03T13:53:16Z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2024-04-03</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